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3DDE" w14:textId="49B2527B" w:rsidR="00FC2CA6" w:rsidRDefault="00FC2CA6" w:rsidP="00FC2CA6">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14:paraId="3DF221B9" w14:textId="77777777"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14:paraId="0D049944"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Pr="007B2DD7">
        <w:rPr>
          <w:rFonts w:ascii="Tw Cen MT" w:hAnsi="Tw Cen MT" w:cs="Arial"/>
          <w:sz w:val="24"/>
          <w:szCs w:val="24"/>
          <w:lang w:eastAsia="en-GB"/>
        </w:rPr>
        <w:t xml:space="preserve">-13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point; </w:t>
      </w:r>
    </w:p>
    <w:p w14:paraId="1EE44D0A"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events; </w:t>
      </w:r>
    </w:p>
    <w:p w14:paraId="376C2A1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66C532C7" w14:textId="2297A12B"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r w:rsidR="00780BC3">
        <w:rPr>
          <w:rFonts w:ascii="Tw Cen MT" w:hAnsi="Tw Cen MT" w:cs="Arial"/>
          <w:sz w:val="24"/>
          <w:szCs w:val="24"/>
          <w:lang w:eastAsia="en-GB"/>
        </w:rPr>
        <w:t>Ms Ruth Ward</w:t>
      </w:r>
    </w:p>
    <w:p w14:paraId="3639E5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4EBB33D5" w14:textId="47C276F6"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Email: </w:t>
      </w:r>
      <w:hyperlink r:id="rId4" w:history="1">
        <w:r w:rsidR="00365B1B" w:rsidRPr="001E3004">
          <w:rPr>
            <w:rStyle w:val="Hyperlink"/>
            <w:rFonts w:ascii="Tw Cen MT" w:hAnsi="Tw Cen MT" w:cs="Arial"/>
            <w:sz w:val="24"/>
            <w:szCs w:val="24"/>
            <w:lang w:eastAsia="en-GB"/>
          </w:rPr>
          <w:t>ruth.ward@hgs.herts.sch.uk</w:t>
        </w:r>
      </w:hyperlink>
    </w:p>
    <w:p w14:paraId="08238BAD" w14:textId="36EA2AAF" w:rsidR="00365B1B" w:rsidRDefault="00365B1B" w:rsidP="00FC2CA6">
      <w:pPr>
        <w:autoSpaceDE w:val="0"/>
        <w:autoSpaceDN w:val="0"/>
        <w:adjustRightInd w:val="0"/>
        <w:spacing w:after="0" w:line="240" w:lineRule="auto"/>
        <w:rPr>
          <w:rFonts w:ascii="Tw Cen MT" w:hAnsi="Tw Cen MT" w:cs="Arial"/>
          <w:sz w:val="24"/>
          <w:szCs w:val="24"/>
          <w:lang w:eastAsia="en-GB"/>
        </w:rPr>
      </w:pPr>
    </w:p>
    <w:p w14:paraId="50744321" w14:textId="46918D4E" w:rsidR="00365B1B" w:rsidRDefault="00365B1B" w:rsidP="00FC2CA6">
      <w:pPr>
        <w:autoSpaceDE w:val="0"/>
        <w:autoSpaceDN w:val="0"/>
        <w:adjustRightInd w:val="0"/>
        <w:spacing w:after="0" w:line="240" w:lineRule="auto"/>
      </w:pPr>
      <w:r>
        <w:rPr>
          <w:rFonts w:ascii="Tw Cen MT" w:hAnsi="Tw Cen MT" w:cs="Arial"/>
          <w:sz w:val="24"/>
          <w:szCs w:val="24"/>
          <w:lang w:eastAsia="en-GB"/>
        </w:rPr>
        <w:t>Telephone: 01462 621300</w:t>
      </w:r>
    </w:p>
    <w:p w14:paraId="7EC04519"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3127BE4E"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4453954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55938E40"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8C520F1"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14:paraId="48809D62" w14:textId="77777777" w:rsidR="00EE73AD" w:rsidRDefault="00EE73AD"/>
    <w:sectPr w:rsidR="00EE73AD"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A6"/>
    <w:rsid w:val="00365B1B"/>
    <w:rsid w:val="003C79E7"/>
    <w:rsid w:val="00780BC3"/>
    <w:rsid w:val="00EE73AD"/>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B1B"/>
    <w:rPr>
      <w:color w:val="0563C1" w:themeColor="hyperlink"/>
      <w:u w:val="single"/>
    </w:rPr>
  </w:style>
  <w:style w:type="character" w:styleId="UnresolvedMention">
    <w:name w:val="Unresolved Mention"/>
    <w:basedOn w:val="DefaultParagraphFont"/>
    <w:uiPriority w:val="99"/>
    <w:semiHidden/>
    <w:unhideWhenUsed/>
    <w:rsid w:val="00365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th.ward@hgs.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Ruth Ward</cp:lastModifiedBy>
  <cp:revision>5</cp:revision>
  <dcterms:created xsi:type="dcterms:W3CDTF">2021-09-21T10:20:00Z</dcterms:created>
  <dcterms:modified xsi:type="dcterms:W3CDTF">2021-09-22T10:23:00Z</dcterms:modified>
</cp:coreProperties>
</file>